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24" w:rsidRPr="00F343FD" w:rsidRDefault="006B0824" w:rsidP="00AD06A6">
      <w:pPr>
        <w:pStyle w:val="Heading1"/>
      </w:pPr>
      <w:r w:rsidRPr="00886ED2">
        <w:rPr>
          <w:color w:val="000000"/>
        </w:rPr>
        <w:t>Table A</w:t>
      </w:r>
      <w:r w:rsidR="0019412B" w:rsidRPr="00886ED2">
        <w:rPr>
          <w:color w:val="000000"/>
        </w:rPr>
        <w:t>.</w:t>
      </w:r>
      <w:r w:rsidRPr="00886ED2">
        <w:rPr>
          <w:color w:val="000000"/>
        </w:rPr>
        <w:t xml:space="preserve">1. </w:t>
      </w:r>
      <w:r w:rsidR="00886ED2" w:rsidRPr="00FB3CD9">
        <w:rPr>
          <w:rStyle w:val="Strong"/>
          <w:b/>
          <w:color w:val="414141"/>
        </w:rPr>
        <w:t>Undergraduates and Faculty in Participating Biomedical Departments and Interdepartmental Program</w:t>
      </w:r>
      <w:r w:rsidR="00886ED2" w:rsidRPr="00FB3CD9">
        <w:rPr>
          <w:rStyle w:val="Strong"/>
          <w:rFonts w:ascii="Nunito" w:hAnsi="Nunito" w:cs="Segoe UI"/>
          <w:b/>
          <w:color w:val="414141"/>
        </w:rPr>
        <w:t>s</w:t>
      </w:r>
      <w:r w:rsidR="0065124A">
        <w:rPr>
          <w:rStyle w:val="Strong"/>
          <w:rFonts w:ascii="Nunito" w:hAnsi="Nunito" w:cs="Segoe UI"/>
          <w:b/>
          <w:color w:val="414141"/>
        </w:rPr>
        <w:t xml:space="preserve"> </w:t>
      </w:r>
      <w:r w:rsidR="0065124A" w:rsidRPr="0065124A">
        <w:rPr>
          <w:rStyle w:val="Strong"/>
          <w:b/>
          <w:color w:val="414141"/>
        </w:rPr>
        <w:t>(Previous Full Academic Year)</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44"/>
        <w:gridCol w:w="810"/>
        <w:gridCol w:w="1350"/>
        <w:gridCol w:w="934"/>
        <w:gridCol w:w="1227"/>
        <w:gridCol w:w="1710"/>
        <w:gridCol w:w="1799"/>
      </w:tblGrid>
      <w:tr w:rsidR="006B0824" w:rsidRPr="00F343FD" w:rsidTr="006B0824">
        <w:trPr>
          <w:cantSplit/>
          <w:trHeight w:val="480"/>
          <w:tblHeader/>
        </w:trPr>
        <w:tc>
          <w:tcPr>
            <w:tcW w:w="1344" w:type="dxa"/>
            <w:shd w:val="clear" w:color="auto" w:fill="BFBFBF"/>
            <w:tcMar>
              <w:top w:w="40" w:type="dxa"/>
              <w:left w:w="40" w:type="dxa"/>
              <w:bottom w:w="40" w:type="dxa"/>
              <w:right w:w="40" w:type="dxa"/>
            </w:tcMar>
            <w:vAlign w:val="center"/>
          </w:tcPr>
          <w:p w:rsidR="006B0824" w:rsidRPr="00F343FD" w:rsidRDefault="006B0824" w:rsidP="00170470">
            <w:pPr>
              <w:pStyle w:val="thth1"/>
            </w:pPr>
            <w:r w:rsidRPr="00F343FD">
              <w:rPr>
                <w:color w:val="000000"/>
              </w:rPr>
              <w:t>Participating Department /Division or Program</w:t>
            </w:r>
          </w:p>
        </w:tc>
        <w:tc>
          <w:tcPr>
            <w:tcW w:w="81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 xml:space="preserve">Total Faculty </w:t>
            </w:r>
          </w:p>
        </w:tc>
        <w:tc>
          <w:tcPr>
            <w:tcW w:w="135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 xml:space="preserve">Participating Faculty </w:t>
            </w:r>
          </w:p>
        </w:tc>
        <w:tc>
          <w:tcPr>
            <w:tcW w:w="934"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Total Undergraduates</w:t>
            </w:r>
          </w:p>
        </w:tc>
        <w:tc>
          <w:tcPr>
            <w:tcW w:w="1227" w:type="dxa"/>
            <w:shd w:val="clear" w:color="auto" w:fill="BFBFBF"/>
            <w:vAlign w:val="center"/>
          </w:tcPr>
          <w:p w:rsidR="006B0824" w:rsidRPr="00F343FD" w:rsidRDefault="006B0824" w:rsidP="00170470">
            <w:pPr>
              <w:pStyle w:val="thth2"/>
              <w:rPr>
                <w:color w:val="000000"/>
              </w:rPr>
            </w:pPr>
            <w:r w:rsidRPr="00F343FD">
              <w:rPr>
                <w:color w:val="000000"/>
              </w:rPr>
              <w:t>Training Grant Eligible (TGE) Undergraduates</w:t>
            </w:r>
          </w:p>
        </w:tc>
        <w:tc>
          <w:tcPr>
            <w:tcW w:w="171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Total Undergraduates Supported by any Training Award</w:t>
            </w:r>
          </w:p>
        </w:tc>
        <w:tc>
          <w:tcPr>
            <w:tcW w:w="1799"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Undergraduates Supported by this Training Grant (Only Renewals/ Revisions)</w:t>
            </w: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pPr>
          </w:p>
        </w:tc>
        <w:tc>
          <w:tcPr>
            <w:tcW w:w="1710" w:type="dxa"/>
            <w:tcMar>
              <w:top w:w="40" w:type="dxa"/>
              <w:left w:w="40" w:type="dxa"/>
              <w:bottom w:w="40" w:type="dxa"/>
              <w:right w:w="40" w:type="dxa"/>
            </w:tcMar>
            <w:vAlign w:val="center"/>
          </w:tcPr>
          <w:p w:rsidR="006B0824" w:rsidRPr="00F343FD" w:rsidRDefault="006B0824" w:rsidP="00170470">
            <w:pPr>
              <w:pStyle w:val="pTableDataCentered"/>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pPr>
          </w:p>
        </w:tc>
        <w:tc>
          <w:tcPr>
            <w:tcW w:w="1710" w:type="dxa"/>
            <w:tcMar>
              <w:top w:w="40" w:type="dxa"/>
              <w:left w:w="40" w:type="dxa"/>
              <w:bottom w:w="40" w:type="dxa"/>
              <w:right w:w="40" w:type="dxa"/>
            </w:tcMar>
            <w:vAlign w:val="center"/>
          </w:tcPr>
          <w:p w:rsidR="006B0824" w:rsidRPr="00F343FD" w:rsidRDefault="006B0824" w:rsidP="00170470">
            <w:pPr>
              <w:pStyle w:val="pTableDataCentered"/>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rPr>
                <w:color w:val="000000" w:themeColor="text1"/>
              </w:rPr>
            </w:pPr>
          </w:p>
        </w:tc>
        <w:tc>
          <w:tcPr>
            <w:tcW w:w="171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shd w:val="clear" w:color="auto" w:fill="BFBFBF"/>
            <w:tcMar>
              <w:top w:w="140" w:type="dxa"/>
              <w:left w:w="40" w:type="dxa"/>
              <w:bottom w:w="40" w:type="dxa"/>
              <w:right w:w="40" w:type="dxa"/>
            </w:tcMar>
            <w:vAlign w:val="center"/>
          </w:tcPr>
          <w:p w:rsidR="006B0824" w:rsidRPr="00F343FD" w:rsidRDefault="006B0824" w:rsidP="00170470">
            <w:pPr>
              <w:pStyle w:val="tdtd3"/>
            </w:pPr>
            <w:r w:rsidRPr="00F343FD">
              <w:rPr>
                <w:rStyle w:val="strongStrong"/>
              </w:rPr>
              <w:t>Total</w:t>
            </w:r>
          </w:p>
        </w:tc>
        <w:tc>
          <w:tcPr>
            <w:tcW w:w="809"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c>
          <w:tcPr>
            <w:tcW w:w="1350" w:type="dxa"/>
            <w:tcMar>
              <w:top w:w="140" w:type="dxa"/>
              <w:left w:w="40" w:type="dxa"/>
              <w:bottom w:w="40" w:type="dxa"/>
              <w:right w:w="40" w:type="dxa"/>
            </w:tcMar>
            <w:vAlign w:val="center"/>
          </w:tcPr>
          <w:p w:rsidR="006B0824" w:rsidRPr="00F343FD" w:rsidRDefault="006B0824" w:rsidP="00170470">
            <w:pPr>
              <w:pStyle w:val="pTableDataCentered"/>
              <w:rPr>
                <w:b/>
                <w:color w:val="000000" w:themeColor="text1"/>
              </w:rPr>
            </w:pPr>
          </w:p>
        </w:tc>
        <w:tc>
          <w:tcPr>
            <w:tcW w:w="934"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c>
          <w:tcPr>
            <w:tcW w:w="1227" w:type="dxa"/>
            <w:vAlign w:val="center"/>
          </w:tcPr>
          <w:p w:rsidR="006B0824" w:rsidRPr="00F343FD" w:rsidRDefault="006B0824" w:rsidP="00170470">
            <w:pPr>
              <w:pStyle w:val="tdtd2"/>
              <w:jc w:val="center"/>
              <w:rPr>
                <w:b/>
                <w:color w:val="000000" w:themeColor="text1"/>
              </w:rPr>
            </w:pPr>
          </w:p>
        </w:tc>
        <w:tc>
          <w:tcPr>
            <w:tcW w:w="1710" w:type="dxa"/>
            <w:tcMar>
              <w:top w:w="40" w:type="dxa"/>
              <w:left w:w="40" w:type="dxa"/>
              <w:bottom w:w="40" w:type="dxa"/>
              <w:right w:w="40" w:type="dxa"/>
            </w:tcMar>
            <w:vAlign w:val="center"/>
          </w:tcPr>
          <w:p w:rsidR="006B0824" w:rsidRPr="00F343FD" w:rsidRDefault="006B0824" w:rsidP="00170470">
            <w:pPr>
              <w:pStyle w:val="tdtd2"/>
              <w:jc w:val="center"/>
              <w:rPr>
                <w:b/>
                <w:color w:val="000000" w:themeColor="text1"/>
              </w:rPr>
            </w:pPr>
          </w:p>
        </w:tc>
        <w:tc>
          <w:tcPr>
            <w:tcW w:w="1799"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r>
    </w:tbl>
    <w:p w:rsidR="006B0824" w:rsidRPr="00AD06A6" w:rsidRDefault="00B82502" w:rsidP="00AD06A6">
      <w:pPr>
        <w:pStyle w:val="Heading2"/>
        <w:rPr>
          <w:rStyle w:val="strongStrong"/>
          <w:b/>
          <w:bCs w:val="0"/>
          <w:color w:val="auto"/>
          <w:sz w:val="22"/>
          <w:szCs w:val="26"/>
        </w:rPr>
      </w:pPr>
      <w:bookmarkStart w:id="0" w:name="_GoBack"/>
      <w:bookmarkEnd w:id="0"/>
      <w:r w:rsidRPr="00AD06A6">
        <w:rPr>
          <w:rStyle w:val="strongStrong"/>
          <w:b/>
          <w:bCs w:val="0"/>
          <w:color w:val="auto"/>
          <w:sz w:val="22"/>
          <w:szCs w:val="26"/>
        </w:rPr>
        <w:t>Instructions</w:t>
      </w:r>
    </w:p>
    <w:p w:rsidR="006B0824" w:rsidRPr="00F343FD" w:rsidRDefault="006B0824" w:rsidP="006B0824">
      <w:pPr>
        <w:pStyle w:val="p1"/>
      </w:pPr>
      <w:r w:rsidRPr="00F343FD">
        <w:rPr>
          <w:color w:val="000000"/>
        </w:rPr>
        <w:t xml:space="preserve">For the previous full academic year, provide the total number of faculty members and undergraduates in each participating department and interdepartmental program. Faculty members should be counted </w:t>
      </w:r>
      <w:r w:rsidRPr="00F343FD">
        <w:rPr>
          <w:color w:val="000000"/>
          <w:u w:val="single"/>
        </w:rPr>
        <w:t>only</w:t>
      </w:r>
      <w:r w:rsidRPr="00F343FD">
        <w:rPr>
          <w:color w:val="000000"/>
        </w:rPr>
        <w:t xml:space="preserve"> once in association with a single department or interdepartmental program. Undergraduates should be counted </w:t>
      </w:r>
      <w:r w:rsidRPr="00F343FD">
        <w:rPr>
          <w:rStyle w:val="ins"/>
        </w:rPr>
        <w:t>only</w:t>
      </w:r>
      <w:r w:rsidRPr="00F343FD">
        <w:rPr>
          <w:color w:val="000000"/>
        </w:rPr>
        <w:t xml:space="preserve"> once and in association with a single department or interdepartmental program. </w:t>
      </w:r>
    </w:p>
    <w:p w:rsidR="006B0824" w:rsidRPr="00F343FD" w:rsidRDefault="006B0824" w:rsidP="006B0824">
      <w:pPr>
        <w:pStyle w:val="p1"/>
        <w:rPr>
          <w:color w:val="000000"/>
        </w:rPr>
      </w:pPr>
      <w:r w:rsidRPr="00F343FD">
        <w:rPr>
          <w:color w:val="000000"/>
        </w:rPr>
        <w:t xml:space="preserve">For each participating department, division, or interdepartmental program enter the following counts for the </w:t>
      </w:r>
      <w:r>
        <w:rPr>
          <w:color w:val="000000"/>
        </w:rPr>
        <w:t>previous full</w:t>
      </w:r>
      <w:r w:rsidRPr="00F343FD">
        <w:rPr>
          <w:color w:val="000000"/>
        </w:rPr>
        <w:t xml:space="preserve"> academic year:</w:t>
      </w:r>
    </w:p>
    <w:p w:rsidR="006B0824" w:rsidRPr="00F343FD" w:rsidRDefault="006B0824" w:rsidP="006B0824">
      <w:pPr>
        <w:pStyle w:val="lili1"/>
        <w:numPr>
          <w:ilvl w:val="0"/>
          <w:numId w:val="1"/>
        </w:numPr>
      </w:pPr>
      <w:r w:rsidRPr="00F343FD">
        <w:rPr>
          <w:rStyle w:val="strongStrong"/>
        </w:rPr>
        <w:t xml:space="preserve">Participating Department or Program. </w:t>
      </w:r>
      <w:r w:rsidRPr="00F343FD">
        <w:rPr>
          <w:color w:val="000000"/>
        </w:rPr>
        <w:t>List the name of the Department, Division, or Interdepartmental Program.</w:t>
      </w:r>
    </w:p>
    <w:p w:rsidR="006B0824" w:rsidRPr="00F343FD" w:rsidRDefault="006B0824" w:rsidP="006B0824">
      <w:pPr>
        <w:pStyle w:val="lili1"/>
        <w:numPr>
          <w:ilvl w:val="0"/>
          <w:numId w:val="1"/>
        </w:numPr>
      </w:pPr>
      <w:r w:rsidRPr="00F343FD">
        <w:rPr>
          <w:rStyle w:val="strongStrong"/>
        </w:rPr>
        <w:t xml:space="preserve">Total Faculty. </w:t>
      </w:r>
      <w:r w:rsidRPr="00F343FD">
        <w:rPr>
          <w:color w:val="000000"/>
        </w:rPr>
        <w:t xml:space="preserve">Provide the total number of current faculty members. In the Total row, count each faculty member only once and enter, in bold font, the total number of </w:t>
      </w:r>
      <w:r>
        <w:rPr>
          <w:rStyle w:val="em"/>
        </w:rPr>
        <w:t>individual</w:t>
      </w:r>
      <w:r w:rsidRPr="00F343FD">
        <w:rPr>
          <w:color w:val="000000"/>
        </w:rPr>
        <w:t xml:space="preserve"> faculty members across the participating departments and interdepartmental programs.</w:t>
      </w:r>
    </w:p>
    <w:p w:rsidR="006B0824" w:rsidRPr="00F343FD" w:rsidRDefault="006B0824" w:rsidP="006B0824">
      <w:pPr>
        <w:pStyle w:val="lili1"/>
        <w:numPr>
          <w:ilvl w:val="0"/>
          <w:numId w:val="1"/>
        </w:numPr>
      </w:pPr>
      <w:r w:rsidRPr="00F343FD">
        <w:rPr>
          <w:rStyle w:val="strongStrong"/>
        </w:rPr>
        <w:t>Participating Faculty.</w:t>
      </w:r>
      <w:r w:rsidRPr="00F343FD">
        <w:rPr>
          <w:color w:val="000000"/>
        </w:rPr>
        <w:t xml:space="preserve"> Provide the total number of faculty members who will participate in the proposed training program. In the Total row, count each faculty member only once and enter, in bold font, the total number of </w:t>
      </w:r>
      <w:r>
        <w:rPr>
          <w:rStyle w:val="em"/>
        </w:rPr>
        <w:t>individual</w:t>
      </w:r>
      <w:r w:rsidRPr="00F343FD">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individual</w:t>
      </w:r>
      <w:r w:rsidRPr="00F343FD">
        <w:rPr>
          <w:color w:val="000000"/>
        </w:rPr>
        <w:t xml:space="preserve"> faculty will be less than the sum across participating departments and programs.)</w:t>
      </w:r>
    </w:p>
    <w:p w:rsidR="006B0824" w:rsidRPr="00F343FD" w:rsidRDefault="006B0824" w:rsidP="006B0824">
      <w:pPr>
        <w:pStyle w:val="lili1"/>
        <w:numPr>
          <w:ilvl w:val="0"/>
          <w:numId w:val="1"/>
        </w:numPr>
      </w:pPr>
      <w:r w:rsidRPr="00F343FD">
        <w:rPr>
          <w:rStyle w:val="strongStrong"/>
        </w:rPr>
        <w:t xml:space="preserve">Total Undergraduates. </w:t>
      </w:r>
      <w:r w:rsidRPr="00F343FD">
        <w:rPr>
          <w:color w:val="000000"/>
        </w:rPr>
        <w:t>Enter the total number of undergraduates. In the Total row, sum across departments and interdepartmental programs and enter, in bold font, the total number of undergraduates for this column.</w:t>
      </w:r>
    </w:p>
    <w:p w:rsidR="009E0145" w:rsidRPr="009E0145" w:rsidRDefault="006B0824" w:rsidP="006B0824">
      <w:pPr>
        <w:pStyle w:val="lili1"/>
        <w:numPr>
          <w:ilvl w:val="0"/>
          <w:numId w:val="1"/>
        </w:numPr>
      </w:pPr>
      <w:r w:rsidRPr="00F343FD">
        <w:rPr>
          <w:rStyle w:val="strongStrong"/>
        </w:rPr>
        <w:t xml:space="preserve">Training Grant Eligible (TGE) Undergraduates. </w:t>
      </w:r>
      <w:r w:rsidRPr="009E0145">
        <w:rPr>
          <w:color w:val="000000"/>
        </w:rPr>
        <w:t xml:space="preserve">Enter the total number of training-grant eligible (i.e., U.S. citizens, non-citizen nationals of the U.S. or permanent residents) undergraduates for the proposed program. In the Total row, sum across departments and interdepartmental programs and enter, in bold font, the total number of undergraduates for this column. </w:t>
      </w:r>
    </w:p>
    <w:p w:rsidR="006B0824" w:rsidRPr="00F343FD" w:rsidRDefault="006B0824" w:rsidP="006B0824">
      <w:pPr>
        <w:pStyle w:val="lili1"/>
        <w:numPr>
          <w:ilvl w:val="0"/>
          <w:numId w:val="1"/>
        </w:numPr>
      </w:pPr>
      <w:r w:rsidRPr="00F343FD">
        <w:rPr>
          <w:rStyle w:val="strongStrong"/>
        </w:rPr>
        <w:t xml:space="preserve">Total Undergraduates Supported by any </w:t>
      </w:r>
      <w:r>
        <w:rPr>
          <w:rStyle w:val="strongStrong"/>
        </w:rPr>
        <w:t>T</w:t>
      </w:r>
      <w:r w:rsidRPr="00F343FD">
        <w:rPr>
          <w:rStyle w:val="strongStrong"/>
        </w:rPr>
        <w:t xml:space="preserve">raining Award. </w:t>
      </w:r>
      <w:r w:rsidRPr="009E0145">
        <w:rPr>
          <w:color w:val="000000"/>
        </w:rPr>
        <w:t xml:space="preserve">Provide the total number of undergraduates who are currently supported by </w:t>
      </w:r>
      <w:r w:rsidRPr="00F343FD">
        <w:rPr>
          <w:rStyle w:val="strongStrong"/>
        </w:rPr>
        <w:t>any</w:t>
      </w:r>
      <w:r w:rsidRPr="009E0145">
        <w:rPr>
          <w:color w:val="000000"/>
        </w:rPr>
        <w:t xml:space="preserve"> training award (e.g., NIH T34, R25, NSF). In the Total row, sum across departments and interdepartmental programs and enter, in bold font, the total number of undergraduates for this column.</w:t>
      </w:r>
    </w:p>
    <w:p w:rsidR="006B0824" w:rsidRPr="00F343FD" w:rsidRDefault="006B0824" w:rsidP="0019412B">
      <w:pPr>
        <w:pStyle w:val="lili1"/>
        <w:numPr>
          <w:ilvl w:val="0"/>
          <w:numId w:val="1"/>
        </w:numPr>
        <w:spacing w:after="120"/>
      </w:pPr>
      <w:r w:rsidRPr="00F343FD">
        <w:rPr>
          <w:rStyle w:val="strongStrong"/>
        </w:rPr>
        <w:t xml:space="preserve">Undergraduates Supported by this Training Grant (Only Renewals/Revisions). </w:t>
      </w:r>
      <w:r w:rsidRPr="0019412B">
        <w:rPr>
          <w:color w:val="000000"/>
        </w:rPr>
        <w:t xml:space="preserve">If this is a renewal or revision application, enter the total number of undergraduates currently supported on the training grant. In the Total row, sum across departments and interdepartmental programs and </w:t>
      </w:r>
      <w:r w:rsidRPr="0019412B">
        <w:rPr>
          <w:color w:val="000000"/>
        </w:rPr>
        <w:lastRenderedPageBreak/>
        <w:t>enter, in bold font, the total number of undergraduates for this column. If not a renewal or revision, do not include this column.</w:t>
      </w:r>
    </w:p>
    <w:sectPr w:rsidR="006B0824" w:rsidRPr="00F3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panose1 w:val="02000603000000000000"/>
    <w:charset w:val="00"/>
    <w:family w:val="auto"/>
    <w:pitch w:val="variable"/>
    <w:sig w:usb0="A00000EF" w:usb1="40002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C732C"/>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840B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DF6A5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02"/>
    <w:rsid w:val="0019412B"/>
    <w:rsid w:val="003E4B44"/>
    <w:rsid w:val="0049425F"/>
    <w:rsid w:val="0065124A"/>
    <w:rsid w:val="006B0824"/>
    <w:rsid w:val="00886ED2"/>
    <w:rsid w:val="009E0145"/>
    <w:rsid w:val="00A560B1"/>
    <w:rsid w:val="00AD06A6"/>
    <w:rsid w:val="00B82502"/>
    <w:rsid w:val="00F40A89"/>
    <w:rsid w:val="00FB3CD9"/>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E651-A3AA-476C-AECD-781A47A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06A6"/>
    <w:pPr>
      <w:keepNext/>
      <w:keepLines/>
      <w:spacing w:before="12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AD06A6"/>
    <w:pPr>
      <w:keepNext/>
      <w:keepLines/>
      <w:spacing w:before="120" w:after="120"/>
      <w:outlineLvl w:val="1"/>
    </w:pPr>
    <w:rPr>
      <w:rFonts w:ascii="Arial" w:eastAsiaTheme="majorEastAsia" w:hAnsi="Arial" w:cstheme="majorBidi"/>
      <w:b/>
      <w:sz w:val="22"/>
      <w:szCs w:val="26"/>
    </w:rPr>
  </w:style>
  <w:style w:type="paragraph" w:styleId="Heading3">
    <w:name w:val="heading 3"/>
    <w:basedOn w:val="Normal"/>
    <w:next w:val="Normal"/>
    <w:link w:val="Heading3Char"/>
    <w:uiPriority w:val="9"/>
    <w:semiHidden/>
    <w:unhideWhenUsed/>
    <w:qFormat/>
    <w:rsid w:val="00B825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1">
    <w:name w:val="h1_Heading1"/>
    <w:basedOn w:val="Heading1"/>
    <w:rsid w:val="00B82502"/>
    <w:pPr>
      <w:pageBreakBefore/>
      <w:spacing w:after="240"/>
    </w:pPr>
    <w:rPr>
      <w:rFonts w:eastAsia="Times New Roman" w:cs="Arial"/>
      <w:b w:val="0"/>
      <w:bCs/>
      <w:szCs w:val="24"/>
    </w:rPr>
  </w:style>
  <w:style w:type="character" w:customStyle="1" w:styleId="strongStrong">
    <w:name w:val="strong_Strong"/>
    <w:rsid w:val="00B82502"/>
    <w:rPr>
      <w:b/>
      <w:bCs/>
      <w:color w:val="000000"/>
      <w:sz w:val="20"/>
      <w:szCs w:val="20"/>
    </w:rPr>
  </w:style>
  <w:style w:type="paragraph" w:customStyle="1" w:styleId="h3Heading3">
    <w:name w:val="h3_Heading3"/>
    <w:basedOn w:val="Heading3"/>
    <w:rsid w:val="00B82502"/>
    <w:pPr>
      <w:spacing w:before="280" w:after="120"/>
    </w:pPr>
    <w:rPr>
      <w:rFonts w:ascii="Arial" w:eastAsia="Times New Roman" w:hAnsi="Arial" w:cs="Arial"/>
      <w:b/>
      <w:bCs/>
      <w:color w:val="auto"/>
      <w:sz w:val="22"/>
      <w:szCs w:val="22"/>
    </w:rPr>
  </w:style>
  <w:style w:type="paragraph" w:customStyle="1" w:styleId="thth1">
    <w:name w:val="th_th_1"/>
    <w:rsid w:val="00B82502"/>
    <w:pPr>
      <w:spacing w:after="0" w:line="240" w:lineRule="auto"/>
      <w:jc w:val="center"/>
    </w:pPr>
    <w:rPr>
      <w:rFonts w:ascii="Arial" w:eastAsia="Times New Roman" w:hAnsi="Arial" w:cs="Arial"/>
      <w:b/>
      <w:bCs/>
      <w:sz w:val="20"/>
      <w:szCs w:val="20"/>
    </w:rPr>
  </w:style>
  <w:style w:type="paragraph" w:customStyle="1" w:styleId="thth2">
    <w:name w:val="th_th_2"/>
    <w:rsid w:val="00B82502"/>
    <w:pPr>
      <w:spacing w:after="0" w:line="240" w:lineRule="auto"/>
      <w:jc w:val="center"/>
    </w:pPr>
    <w:rPr>
      <w:rFonts w:ascii="Arial" w:eastAsia="Times New Roman" w:hAnsi="Arial" w:cs="Arial"/>
      <w:b/>
      <w:bCs/>
      <w:sz w:val="20"/>
      <w:szCs w:val="20"/>
    </w:rPr>
  </w:style>
  <w:style w:type="paragraph" w:customStyle="1" w:styleId="pTableDataLeft">
    <w:name w:val="p_TableDataLeft"/>
    <w:rsid w:val="00B82502"/>
    <w:pPr>
      <w:spacing w:after="0" w:line="240" w:lineRule="auto"/>
    </w:pPr>
    <w:rPr>
      <w:rFonts w:ascii="Arial" w:eastAsia="Times New Roman" w:hAnsi="Arial" w:cs="Arial"/>
      <w:sz w:val="20"/>
      <w:szCs w:val="20"/>
    </w:rPr>
  </w:style>
  <w:style w:type="paragraph" w:customStyle="1" w:styleId="pTableDataCentered">
    <w:name w:val="p_TableDataCentered"/>
    <w:rsid w:val="00B82502"/>
    <w:pPr>
      <w:spacing w:after="0" w:line="240" w:lineRule="auto"/>
      <w:jc w:val="center"/>
    </w:pPr>
    <w:rPr>
      <w:rFonts w:ascii="Arial" w:eastAsia="Times New Roman" w:hAnsi="Arial" w:cs="Arial"/>
      <w:sz w:val="20"/>
      <w:szCs w:val="20"/>
    </w:rPr>
  </w:style>
  <w:style w:type="paragraph" w:customStyle="1" w:styleId="tdtd3">
    <w:name w:val="td_td_3"/>
    <w:rsid w:val="00B82502"/>
    <w:pPr>
      <w:spacing w:after="0" w:line="240" w:lineRule="auto"/>
    </w:pPr>
    <w:rPr>
      <w:rFonts w:ascii="Arial" w:eastAsia="Times New Roman" w:hAnsi="Arial" w:cs="Arial"/>
      <w:sz w:val="20"/>
      <w:szCs w:val="20"/>
    </w:rPr>
  </w:style>
  <w:style w:type="paragraph" w:customStyle="1" w:styleId="tdtd4">
    <w:name w:val="td_td_4"/>
    <w:rsid w:val="00B82502"/>
    <w:pPr>
      <w:spacing w:after="0" w:line="240" w:lineRule="auto"/>
    </w:pPr>
    <w:rPr>
      <w:rFonts w:ascii="Arial" w:eastAsia="Times New Roman" w:hAnsi="Arial" w:cs="Arial"/>
      <w:sz w:val="20"/>
      <w:szCs w:val="20"/>
    </w:rPr>
  </w:style>
  <w:style w:type="paragraph" w:customStyle="1" w:styleId="tdtd2">
    <w:name w:val="td_td_2"/>
    <w:rsid w:val="00B82502"/>
    <w:pPr>
      <w:spacing w:after="0" w:line="240" w:lineRule="auto"/>
    </w:pPr>
    <w:rPr>
      <w:rFonts w:ascii="Arial" w:eastAsia="Times New Roman" w:hAnsi="Arial" w:cs="Arial"/>
      <w:sz w:val="20"/>
      <w:szCs w:val="20"/>
    </w:rPr>
  </w:style>
  <w:style w:type="paragraph" w:customStyle="1" w:styleId="pTableHeadingColumn">
    <w:name w:val="p_TableHeadingColumn"/>
    <w:rsid w:val="00B82502"/>
    <w:pPr>
      <w:spacing w:after="0" w:line="240" w:lineRule="auto"/>
      <w:jc w:val="center"/>
    </w:pPr>
    <w:rPr>
      <w:rFonts w:ascii="Arial" w:eastAsia="Times New Roman" w:hAnsi="Arial" w:cs="Arial"/>
      <w:b/>
      <w:bCs/>
      <w:sz w:val="20"/>
      <w:szCs w:val="20"/>
    </w:rPr>
  </w:style>
  <w:style w:type="paragraph" w:customStyle="1" w:styleId="p1">
    <w:name w:val="p_1"/>
    <w:rsid w:val="00B82502"/>
    <w:pPr>
      <w:spacing w:after="120" w:line="240" w:lineRule="auto"/>
    </w:pPr>
    <w:rPr>
      <w:rFonts w:ascii="Arial" w:eastAsia="Times New Roman" w:hAnsi="Arial" w:cs="Arial"/>
      <w:sz w:val="20"/>
      <w:szCs w:val="20"/>
    </w:rPr>
  </w:style>
  <w:style w:type="paragraph" w:customStyle="1" w:styleId="pSubheadinParagraph1">
    <w:name w:val="p_SubheadinParagraph_1"/>
    <w:rsid w:val="00B82502"/>
    <w:pPr>
      <w:spacing w:after="120" w:line="240" w:lineRule="auto"/>
    </w:pPr>
    <w:rPr>
      <w:rFonts w:ascii="Arial" w:eastAsia="Times New Roman" w:hAnsi="Arial" w:cs="Arial"/>
      <w:b/>
      <w:bCs/>
      <w:sz w:val="24"/>
      <w:szCs w:val="24"/>
    </w:rPr>
  </w:style>
  <w:style w:type="paragraph" w:customStyle="1" w:styleId="h2Heading21">
    <w:name w:val="h2_Heading2_1"/>
    <w:basedOn w:val="Heading2"/>
    <w:rsid w:val="00B82502"/>
    <w:pPr>
      <w:spacing w:before="360"/>
    </w:pPr>
    <w:rPr>
      <w:rFonts w:eastAsia="Times New Roman" w:cs="Arial"/>
      <w:b w:val="0"/>
      <w:bCs/>
      <w:szCs w:val="22"/>
    </w:rPr>
  </w:style>
  <w:style w:type="character" w:customStyle="1" w:styleId="ins">
    <w:name w:val="ins"/>
    <w:rsid w:val="00B82502"/>
    <w:rPr>
      <w:color w:val="000000"/>
      <w:sz w:val="20"/>
      <w:szCs w:val="20"/>
      <w:u w:val="single"/>
    </w:rPr>
  </w:style>
  <w:style w:type="paragraph" w:customStyle="1" w:styleId="lili1">
    <w:name w:val="li_li_1"/>
    <w:rsid w:val="00B82502"/>
    <w:pPr>
      <w:spacing w:after="0" w:line="240" w:lineRule="auto"/>
      <w:ind w:left="720"/>
    </w:pPr>
    <w:rPr>
      <w:rFonts w:ascii="Arial" w:eastAsia="Times New Roman" w:hAnsi="Arial" w:cs="Arial"/>
      <w:sz w:val="20"/>
      <w:szCs w:val="20"/>
    </w:rPr>
  </w:style>
  <w:style w:type="character" w:customStyle="1" w:styleId="em">
    <w:name w:val="em"/>
    <w:rsid w:val="00B82502"/>
    <w:rPr>
      <w:b/>
      <w:bCs/>
      <w:i/>
      <w:iCs/>
      <w:color w:val="000000"/>
      <w:sz w:val="20"/>
      <w:szCs w:val="20"/>
    </w:rPr>
  </w:style>
  <w:style w:type="character" w:styleId="CommentReference">
    <w:name w:val="annotation reference"/>
    <w:basedOn w:val="DefaultParagraphFont"/>
    <w:uiPriority w:val="99"/>
    <w:semiHidden/>
    <w:unhideWhenUsed/>
    <w:rsid w:val="00B82502"/>
    <w:rPr>
      <w:sz w:val="16"/>
      <w:szCs w:val="16"/>
    </w:rPr>
  </w:style>
  <w:style w:type="paragraph" w:styleId="CommentText">
    <w:name w:val="annotation text"/>
    <w:basedOn w:val="Normal"/>
    <w:link w:val="CommentTextChar"/>
    <w:uiPriority w:val="99"/>
    <w:semiHidden/>
    <w:unhideWhenUsed/>
    <w:rsid w:val="00B82502"/>
    <w:rPr>
      <w:sz w:val="20"/>
      <w:szCs w:val="20"/>
    </w:rPr>
  </w:style>
  <w:style w:type="character" w:customStyle="1" w:styleId="CommentTextChar">
    <w:name w:val="Comment Text Char"/>
    <w:basedOn w:val="DefaultParagraphFont"/>
    <w:link w:val="CommentText"/>
    <w:uiPriority w:val="99"/>
    <w:semiHidden/>
    <w:rsid w:val="00B82502"/>
    <w:rPr>
      <w:rFonts w:ascii="Times New Roman" w:eastAsia="Times New Roman" w:hAnsi="Times New Roman" w:cs="Times New Roman"/>
      <w:sz w:val="20"/>
      <w:szCs w:val="20"/>
    </w:rPr>
  </w:style>
  <w:style w:type="character" w:styleId="Hyperlink">
    <w:name w:val="Hyperlink"/>
    <w:uiPriority w:val="99"/>
    <w:unhideWhenUsed/>
    <w:rsid w:val="00B82502"/>
    <w:rPr>
      <w:color w:val="0000FF"/>
      <w:u w:val="single"/>
    </w:rPr>
  </w:style>
  <w:style w:type="character" w:customStyle="1" w:styleId="Heading1Char">
    <w:name w:val="Heading 1 Char"/>
    <w:basedOn w:val="DefaultParagraphFont"/>
    <w:link w:val="Heading1"/>
    <w:uiPriority w:val="9"/>
    <w:rsid w:val="00AD06A6"/>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B8250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AD06A6"/>
    <w:rPr>
      <w:rFonts w:ascii="Arial" w:eastAsiaTheme="majorEastAsia" w:hAnsi="Arial" w:cstheme="majorBidi"/>
      <w:b/>
      <w:szCs w:val="26"/>
    </w:rPr>
  </w:style>
  <w:style w:type="paragraph" w:styleId="BalloonText">
    <w:name w:val="Balloon Text"/>
    <w:basedOn w:val="Normal"/>
    <w:link w:val="BalloonTextChar"/>
    <w:uiPriority w:val="99"/>
    <w:semiHidden/>
    <w:unhideWhenUsed/>
    <w:rsid w:val="00B82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02"/>
    <w:rPr>
      <w:rFonts w:ascii="Segoe UI" w:eastAsia="Times New Roman" w:hAnsi="Segoe UI" w:cs="Segoe UI"/>
      <w:sz w:val="18"/>
      <w:szCs w:val="18"/>
    </w:rPr>
  </w:style>
  <w:style w:type="character" w:styleId="Strong">
    <w:name w:val="Strong"/>
    <w:basedOn w:val="DefaultParagraphFont"/>
    <w:uiPriority w:val="22"/>
    <w:qFormat/>
    <w:rsid w:val="00886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5CC5BA-E6E0-4D07-8D97-3C64687520A5}">
  <ds:schemaRefs>
    <ds:schemaRef ds:uri="http://schemas.microsoft.com/sharepoint/v3/contenttype/forms"/>
  </ds:schemaRefs>
</ds:datastoreItem>
</file>

<file path=customXml/itemProps2.xml><?xml version="1.0" encoding="utf-8"?>
<ds:datastoreItem xmlns:ds="http://schemas.openxmlformats.org/officeDocument/2006/customXml" ds:itemID="{3BEA52AF-4482-4575-AFB8-E715AC2571ED}"/>
</file>

<file path=customXml/itemProps3.xml><?xml version="1.0" encoding="utf-8"?>
<ds:datastoreItem xmlns:ds="http://schemas.openxmlformats.org/officeDocument/2006/customXml" ds:itemID="{8B4111A3-ABE6-43CC-AE10-4A2AF443CB58}">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2137102-8dec-4337-9d3d-f11ce9204fe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Table A.1. Undergraduates and Faculty in Participating Biomedical Departments and Interdepartmental Programs</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A.1. Undergraduates and Faculty in Participating Biomedical Departments and Interdepartmental Programs</dc:title>
  <dc:subject/>
  <dc:creator>Koduri, Sailaja (NIH/NIGMS) [E]</dc:creator>
  <cp:keywords/>
  <dc:description/>
  <cp:lastModifiedBy>Asuncion-Reed, Redante (NIH/NIGMS) [C]</cp:lastModifiedBy>
  <cp:revision>3</cp:revision>
  <dcterms:created xsi:type="dcterms:W3CDTF">2019-03-07T13:52:00Z</dcterms:created>
  <dcterms:modified xsi:type="dcterms:W3CDTF">2019-03-07T13:53:00Z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0x0101005DFF12E06FCB194EA8F4B5D0F3F844DB</vt:lpwstr>
  </property>
</Properties>
</file>